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73" w:rsidRPr="00B05E73" w:rsidRDefault="00B05E73" w:rsidP="00B05E73">
      <w:pPr>
        <w:rPr>
          <w:rFonts w:cstheme="minorHAnsi"/>
          <w:b/>
          <w:sz w:val="28"/>
          <w:szCs w:val="28"/>
        </w:rPr>
      </w:pPr>
      <w:r w:rsidRPr="00763855">
        <w:rPr>
          <w:rFonts w:cstheme="minorHAnsi"/>
          <w:b/>
          <w:sz w:val="28"/>
          <w:szCs w:val="28"/>
        </w:rPr>
        <w:t>Kontrolní list pro</w:t>
      </w:r>
      <w:r>
        <w:rPr>
          <w:rFonts w:cstheme="minorHAnsi"/>
          <w:b/>
          <w:sz w:val="28"/>
          <w:szCs w:val="28"/>
        </w:rPr>
        <w:t xml:space="preserve"> věcné</w:t>
      </w:r>
      <w:r w:rsidRPr="00763855">
        <w:rPr>
          <w:rFonts w:cstheme="minorHAnsi"/>
          <w:b/>
          <w:sz w:val="28"/>
          <w:szCs w:val="28"/>
        </w:rPr>
        <w:t xml:space="preserve"> hodnocení žádosti o podporu v opatření č. </w:t>
      </w:r>
      <w:r w:rsidRPr="00B05E73">
        <w:rPr>
          <w:rFonts w:cstheme="minorHAnsi"/>
          <w:b/>
          <w:sz w:val="28"/>
          <w:szCs w:val="28"/>
        </w:rPr>
        <w:t>2.1. A Dopravní dostupnost a obslužnost  a 2.1.B Bezpečnost v dopravě</w:t>
      </w:r>
    </w:p>
    <w:p w:rsidR="00B05E73" w:rsidRPr="00763855" w:rsidRDefault="00B05E73" w:rsidP="00B05E73">
      <w:pPr>
        <w:rPr>
          <w:rFonts w:cstheme="minorHAnsi"/>
          <w:b/>
          <w:sz w:val="28"/>
          <w:szCs w:val="28"/>
        </w:rPr>
      </w:pPr>
      <w:r w:rsidRPr="00B05E73">
        <w:rPr>
          <w:rFonts w:cstheme="minorHAnsi"/>
          <w:b/>
          <w:sz w:val="28"/>
          <w:szCs w:val="28"/>
        </w:rPr>
        <w:t>Integrované strategie MAS Hradecký venkovI</w:t>
      </w:r>
      <w:r w:rsidRPr="00763855">
        <w:rPr>
          <w:rFonts w:cstheme="minorHAnsi"/>
          <w:b/>
          <w:sz w:val="28"/>
          <w:szCs w:val="28"/>
        </w:rPr>
        <w:t>ntegrované strategie MAS Hradecký venkov</w:t>
      </w:r>
    </w:p>
    <w:p w:rsidR="00B05E73" w:rsidRDefault="00E640F9" w:rsidP="00B05E73">
      <w:r>
        <w:t>Platnost od: 29</w:t>
      </w:r>
      <w:bookmarkStart w:id="0" w:name="_GoBack"/>
      <w:bookmarkEnd w:id="0"/>
      <w:r w:rsidR="00B05E73">
        <w:t>. 1. 2019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186549" w:rsidRPr="00186549" w:rsidTr="00186549">
        <w:trPr>
          <w:trHeight w:val="288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Název výzvy MAS:  </w:t>
            </w:r>
            <w:proofErr w:type="gramStart"/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6.Výzva</w:t>
            </w:r>
            <w:proofErr w:type="gramEnd"/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 MAS Hradecký venkov-IROP-Bezpečnost dopravy</w:t>
            </w:r>
          </w:p>
        </w:tc>
      </w:tr>
      <w:tr w:rsidR="00186549" w:rsidRPr="00186549" w:rsidTr="00186549">
        <w:trPr>
          <w:trHeight w:val="288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Číslo výzvy MAS: 6.</w:t>
            </w:r>
          </w:p>
        </w:tc>
      </w:tr>
      <w:tr w:rsidR="00186549" w:rsidRPr="00186549" w:rsidTr="00186549">
        <w:trPr>
          <w:trHeight w:val="600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Název výzvy ŘO: </w:t>
            </w:r>
            <w:r w:rsidRPr="0018654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Výzva č. 53 Zvýšení podílu udržitelných forem dopravy</w:t>
            </w:r>
          </w:p>
        </w:tc>
      </w:tr>
      <w:tr w:rsidR="00186549" w:rsidRPr="00186549" w:rsidTr="00186549">
        <w:trPr>
          <w:trHeight w:val="585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Specifická pravidla (</w:t>
            </w:r>
            <w:r w:rsidRPr="00186549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lang w:eastAsia="cs-CZ"/>
              </w:rPr>
              <w:t>verze, platnost)</w:t>
            </w: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: </w:t>
            </w:r>
            <w:r w:rsidRPr="0018654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verze 1.2, platnost 29. 6. 2018</w:t>
            </w:r>
          </w:p>
        </w:tc>
      </w:tr>
      <w:tr w:rsidR="00186549" w:rsidRPr="00186549" w:rsidTr="00186549">
        <w:trPr>
          <w:trHeight w:val="360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Obecná pravidla (</w:t>
            </w:r>
            <w:r w:rsidRPr="00186549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lang w:eastAsia="cs-CZ"/>
              </w:rPr>
              <w:t>verze, platnost</w:t>
            </w: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): </w:t>
            </w:r>
            <w:r w:rsidRPr="0018654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verze 1.11, platnost 15. 5. 2018</w:t>
            </w:r>
          </w:p>
        </w:tc>
      </w:tr>
      <w:tr w:rsidR="00186549" w:rsidRPr="00186549" w:rsidTr="00186549">
        <w:trPr>
          <w:trHeight w:val="300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Číslo výzvy ŘO: </w:t>
            </w:r>
            <w:r w:rsidRPr="0018654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53.</w:t>
            </w:r>
          </w:p>
        </w:tc>
      </w:tr>
      <w:tr w:rsidR="00186549" w:rsidRPr="00186549" w:rsidTr="00186549">
        <w:trPr>
          <w:trHeight w:val="525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Název projektu:</w:t>
            </w:r>
          </w:p>
        </w:tc>
      </w:tr>
      <w:tr w:rsidR="00186549" w:rsidRPr="00186549" w:rsidTr="00186549">
        <w:trPr>
          <w:trHeight w:val="300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Registrační číslo projektu:</w:t>
            </w:r>
          </w:p>
        </w:tc>
      </w:tr>
      <w:tr w:rsidR="00186549" w:rsidRPr="00186549" w:rsidTr="00186549">
        <w:trPr>
          <w:trHeight w:val="288"/>
        </w:trPr>
        <w:tc>
          <w:tcPr>
            <w:tcW w:w="9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549" w:rsidRPr="00186549" w:rsidRDefault="00186549" w:rsidP="0018654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186549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Žadatel:</w:t>
            </w:r>
          </w:p>
        </w:tc>
      </w:tr>
    </w:tbl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186549" w:rsidRDefault="00186549" w:rsidP="00B05E73"/>
    <w:p w:rsidR="00E24B58" w:rsidRPr="007F2DEA" w:rsidRDefault="00E24B58" w:rsidP="00E24B58">
      <w:pPr>
        <w:rPr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5"/>
        <w:gridCol w:w="3596"/>
        <w:gridCol w:w="6520"/>
        <w:gridCol w:w="2777"/>
      </w:tblGrid>
      <w:tr w:rsidR="00446CE3" w:rsidRPr="005F46C0" w:rsidTr="00196CB3">
        <w:tc>
          <w:tcPr>
            <w:tcW w:w="15388" w:type="dxa"/>
            <w:gridSpan w:val="4"/>
            <w:shd w:val="clear" w:color="auto" w:fill="C5E0B3" w:themeFill="accent6" w:themeFillTint="66"/>
          </w:tcPr>
          <w:p w:rsidR="00446CE3" w:rsidRPr="003C525C" w:rsidRDefault="00446CE3" w:rsidP="005F46C0">
            <w:pPr>
              <w:jc w:val="center"/>
              <w:rPr>
                <w:b/>
                <w:bCs/>
                <w:sz w:val="24"/>
                <w:szCs w:val="24"/>
              </w:rPr>
            </w:pPr>
            <w:r w:rsidRPr="003C525C">
              <w:rPr>
                <w:b/>
                <w:bCs/>
                <w:sz w:val="24"/>
                <w:szCs w:val="24"/>
              </w:rPr>
              <w:lastRenderedPageBreak/>
              <w:t xml:space="preserve">Opatření  </w:t>
            </w:r>
            <w:r w:rsidRPr="003C525C">
              <w:rPr>
                <w:rFonts w:cstheme="minorHAnsi"/>
                <w:b/>
                <w:bCs/>
                <w:sz w:val="24"/>
                <w:szCs w:val="24"/>
              </w:rPr>
              <w:t>2.1 Dostatečná dopravní dostupnost a vysoká bezpečnost dopravy</w:t>
            </w:r>
          </w:p>
        </w:tc>
      </w:tr>
      <w:tr w:rsidR="0065038F" w:rsidRPr="003C525C" w:rsidTr="00154144">
        <w:tc>
          <w:tcPr>
            <w:tcW w:w="2495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>Max. počet bodů:</w:t>
            </w:r>
          </w:p>
        </w:tc>
        <w:tc>
          <w:tcPr>
            <w:tcW w:w="3596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>AKTIVITA: BEZPEČNOST DOPRAVY</w:t>
            </w:r>
          </w:p>
        </w:tc>
        <w:tc>
          <w:tcPr>
            <w:tcW w:w="6520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8504E3" w:rsidP="00154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Min. počet bodů: 40 ze </w:t>
            </w:r>
            <w:r w:rsidR="00407B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CE3" w:rsidRPr="005F46C0" w:rsidTr="00446CE3">
        <w:tc>
          <w:tcPr>
            <w:tcW w:w="2495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 w:rsidRPr="005F46C0"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Hodnocení (bodovací škála)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kritéria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:rsidR="00446CE3" w:rsidRDefault="0065038F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Referenční dokument</w:t>
            </w:r>
          </w:p>
        </w:tc>
      </w:tr>
      <w:tr w:rsidR="00446CE3" w:rsidRPr="005F46C0" w:rsidTr="00446CE3">
        <w:tc>
          <w:tcPr>
            <w:tcW w:w="2495" w:type="dxa"/>
            <w:vMerge w:val="restart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přispěje ke svedení pěších z pozemní komunikace v délce alespoň 50% délky chodníku, který je předmětem projektu</w:t>
            </w:r>
          </w:p>
        </w:tc>
        <w:tc>
          <w:tcPr>
            <w:tcW w:w="3596" w:type="dxa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 – projekt přispěje ke svedení pěších ze silnice II. třídy a vyšší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 – Hodnotitel přidělí projektu 20 bodů, pokud je v žádosti a ve studii proveditelnosti popsáno, že projekt přispívá ke svedení pěších ze silnice II. třídy a vyšší  v délce alespoň 50% délky chodní</w:t>
            </w:r>
            <w:r w:rsidR="001D3F84">
              <w:rPr>
                <w:sz w:val="20"/>
                <w:szCs w:val="20"/>
              </w:rPr>
              <w:t>ku, který je předmětem projektu,   tj. 50% a více.</w:t>
            </w:r>
          </w:p>
        </w:tc>
        <w:tc>
          <w:tcPr>
            <w:tcW w:w="2777" w:type="dxa"/>
            <w:vMerge w:val="restart"/>
          </w:tcPr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="00D37402">
              <w:rPr>
                <w:sz w:val="20"/>
                <w:szCs w:val="20"/>
              </w:rPr>
              <w:t>, kap. 14</w:t>
            </w:r>
          </w:p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 – projekt přispěje ke svedení pěších ze silnice III. třídy a místních komunikací</w:t>
            </w:r>
          </w:p>
        </w:tc>
        <w:tc>
          <w:tcPr>
            <w:tcW w:w="6520" w:type="dxa"/>
          </w:tcPr>
          <w:p w:rsidR="00446CE3" w:rsidRDefault="00446CE3" w:rsidP="001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 – Hodnotitel přidělí projektu 10 bodů, pokud je v žádosti a ve studii proveditelnosti popsáno, že projekt přispívá ke svedení pěších ze silnice III. třídy a místních komunikací  v délce alespoň 50% délky chodníku, který je předmětem proj</w:t>
            </w:r>
            <w:r w:rsidR="00156489">
              <w:rPr>
                <w:sz w:val="20"/>
                <w:szCs w:val="20"/>
              </w:rPr>
              <w:t xml:space="preserve">ektu,   </w:t>
            </w:r>
            <w:r w:rsidR="001D3F84">
              <w:rPr>
                <w:sz w:val="20"/>
                <w:szCs w:val="20"/>
              </w:rPr>
              <w:t xml:space="preserve">tj. </w:t>
            </w:r>
            <w:r w:rsidR="00156489">
              <w:rPr>
                <w:sz w:val="20"/>
                <w:szCs w:val="20"/>
              </w:rPr>
              <w:t>50% a více.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projekt nepřispívá ke svedení pěších z pozemních komunikací</w:t>
            </w:r>
          </w:p>
        </w:tc>
        <w:tc>
          <w:tcPr>
            <w:tcW w:w="6520" w:type="dxa"/>
          </w:tcPr>
          <w:p w:rsidR="00446CE3" w:rsidRDefault="00446CE3" w:rsidP="001D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- Hodnotitel přidělí projektu 0 bodů, pokud projekt </w:t>
            </w:r>
            <w:r w:rsidR="001D3F84" w:rsidRPr="001D3F84">
              <w:rPr>
                <w:sz w:val="20"/>
                <w:szCs w:val="20"/>
              </w:rPr>
              <w:t xml:space="preserve">nesvede pěší </w:t>
            </w:r>
            <w:r w:rsidR="001D3F84">
              <w:rPr>
                <w:sz w:val="20"/>
                <w:szCs w:val="20"/>
              </w:rPr>
              <w:t xml:space="preserve">ze silnice nebo z komunikace </w:t>
            </w:r>
            <w:r w:rsidR="001D3F84" w:rsidRPr="001D3F84">
              <w:rPr>
                <w:sz w:val="20"/>
                <w:szCs w:val="20"/>
              </w:rPr>
              <w:t>v délce alespoň 50 % chodníku</w:t>
            </w:r>
            <w:r w:rsidR="001D3F84">
              <w:rPr>
                <w:sz w:val="20"/>
                <w:szCs w:val="20"/>
              </w:rPr>
              <w:t xml:space="preserve"> který je předmětem projektu, tj. </w:t>
            </w:r>
            <w:r w:rsidR="001D3F84" w:rsidRPr="001D3F84">
              <w:rPr>
                <w:sz w:val="20"/>
                <w:szCs w:val="20"/>
              </w:rPr>
              <w:t xml:space="preserve"> 0</w:t>
            </w:r>
            <w:r w:rsidR="001D3F84">
              <w:rPr>
                <w:sz w:val="20"/>
                <w:szCs w:val="20"/>
              </w:rPr>
              <w:t xml:space="preserve"> % - 49,9 %.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186549" w:rsidRPr="005F46C0" w:rsidTr="00186549">
        <w:tc>
          <w:tcPr>
            <w:tcW w:w="2495" w:type="dxa"/>
            <w:shd w:val="clear" w:color="auto" w:fill="DEEAF6" w:themeFill="accent1" w:themeFillTint="33"/>
          </w:tcPr>
          <w:p w:rsidR="00186549" w:rsidRPr="00186549" w:rsidRDefault="00186549" w:rsidP="00D37402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Odůvodnění výsledku hodnocení:</w:t>
            </w:r>
          </w:p>
        </w:tc>
        <w:tc>
          <w:tcPr>
            <w:tcW w:w="10116" w:type="dxa"/>
            <w:gridSpan w:val="2"/>
            <w:shd w:val="clear" w:color="auto" w:fill="DEEAF6" w:themeFill="accent1" w:themeFillTint="33"/>
          </w:tcPr>
          <w:p w:rsidR="00186549" w:rsidRDefault="00186549" w:rsidP="003C525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EEAF6" w:themeFill="accent1" w:themeFillTint="33"/>
          </w:tcPr>
          <w:p w:rsidR="00186549" w:rsidRPr="00186549" w:rsidRDefault="00186549" w:rsidP="00446CE3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Počet bodů:</w:t>
            </w:r>
          </w:p>
          <w:p w:rsidR="00186549" w:rsidRDefault="00186549" w:rsidP="00446CE3">
            <w:pPr>
              <w:rPr>
                <w:sz w:val="20"/>
                <w:szCs w:val="20"/>
              </w:rPr>
            </w:pPr>
          </w:p>
          <w:p w:rsidR="00186549" w:rsidRDefault="00186549" w:rsidP="00446CE3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 w:val="restart"/>
          </w:tcPr>
          <w:p w:rsidR="00446CE3" w:rsidRDefault="00446CE3" w:rsidP="00D37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Součástí projektu </w:t>
            </w:r>
            <w:r w:rsidR="00D37402">
              <w:rPr>
                <w:sz w:val="20"/>
                <w:szCs w:val="20"/>
              </w:rPr>
              <w:t>je výsadba doprovodné</w:t>
            </w:r>
            <w:r>
              <w:rPr>
                <w:sz w:val="20"/>
                <w:szCs w:val="20"/>
              </w:rPr>
              <w:t xml:space="preserve"> zeleně (</w:t>
            </w:r>
            <w:r w:rsidR="00D37402">
              <w:rPr>
                <w:sz w:val="20"/>
                <w:szCs w:val="20"/>
              </w:rPr>
              <w:t>realizace zmírňujících a kompenzačních opatření pro minimalizaci negativních vlivů na životní prostředí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součástí projektu </w:t>
            </w:r>
            <w:r w:rsidR="00AC0E6E">
              <w:rPr>
                <w:sz w:val="20"/>
                <w:szCs w:val="20"/>
              </w:rPr>
              <w:t>je výsadba doprovodné zeleně</w:t>
            </w:r>
          </w:p>
        </w:tc>
        <w:tc>
          <w:tcPr>
            <w:tcW w:w="6520" w:type="dxa"/>
          </w:tcPr>
          <w:p w:rsidR="00446CE3" w:rsidRPr="00AD6E18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Hodnotitel přidělí projektu 10 bodů, pokud bude součástí projektu ve způsobilých výdajích </w:t>
            </w:r>
            <w:r w:rsidR="00810D20">
              <w:rPr>
                <w:sz w:val="20"/>
                <w:szCs w:val="20"/>
              </w:rPr>
              <w:t>výsadba doprovodné zeleně (realizace zmírňujících a kompenzačních opatření pro minimalizaci negativních vlivů na životní prostředí)</w:t>
            </w:r>
            <w:r>
              <w:rPr>
                <w:sz w:val="20"/>
                <w:szCs w:val="20"/>
              </w:rPr>
              <w:t>.  Pro přidělení 1</w:t>
            </w:r>
            <w:r w:rsidR="00810D20">
              <w:rPr>
                <w:sz w:val="20"/>
                <w:szCs w:val="20"/>
              </w:rPr>
              <w:t xml:space="preserve">0 bodů není rozhodující rozsah doprovodné </w:t>
            </w:r>
            <w:r>
              <w:rPr>
                <w:sz w:val="20"/>
                <w:szCs w:val="20"/>
              </w:rPr>
              <w:t xml:space="preserve">zeleně.  </w:t>
            </w:r>
            <w:r w:rsidRPr="00AD6E18">
              <w:rPr>
                <w:sz w:val="20"/>
                <w:szCs w:val="20"/>
              </w:rPr>
              <w:t xml:space="preserve">Informace pro vyhodnocení kritéria lze čerpat ve Studii proveditelnosti, rozpočtu stavby či projektové dokumentaci, je-li předkládána. </w:t>
            </w:r>
          </w:p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Hodnotitel v komentáři uvede, jaká  výsadba zeleně je v projektu realizována.  </w:t>
            </w:r>
          </w:p>
        </w:tc>
        <w:tc>
          <w:tcPr>
            <w:tcW w:w="2777" w:type="dxa"/>
            <w:vMerge w:val="restart"/>
          </w:tcPr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="00D37402">
              <w:rPr>
                <w:sz w:val="20"/>
                <w:szCs w:val="20"/>
              </w:rPr>
              <w:t>, kap.</w:t>
            </w:r>
            <w:r w:rsidR="00810D20">
              <w:rPr>
                <w:sz w:val="20"/>
                <w:szCs w:val="20"/>
              </w:rPr>
              <w:t xml:space="preserve"> 10,</w:t>
            </w:r>
            <w:r w:rsidR="00D37402">
              <w:rPr>
                <w:sz w:val="20"/>
                <w:szCs w:val="20"/>
              </w:rPr>
              <w:t xml:space="preserve"> 14</w:t>
            </w:r>
          </w:p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8504E3" w:rsidRDefault="008504E3" w:rsidP="00446CE3">
            <w:pPr>
              <w:rPr>
                <w:sz w:val="20"/>
                <w:szCs w:val="20"/>
              </w:rPr>
            </w:pPr>
          </w:p>
          <w:p w:rsidR="008504E3" w:rsidRDefault="008504E3" w:rsidP="00446CE3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AC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- součástí projektu </w:t>
            </w:r>
            <w:r w:rsidR="00AC0E6E">
              <w:rPr>
                <w:sz w:val="20"/>
                <w:szCs w:val="20"/>
              </w:rPr>
              <w:t>není výsadba doprovodné zeleně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–   Hodnotitel přidělí projektu 0 bodů, pokud součástí projektu není ve způsobilých výdajích </w:t>
            </w:r>
            <w:r w:rsidR="00810D20">
              <w:rPr>
                <w:sz w:val="20"/>
                <w:szCs w:val="20"/>
              </w:rPr>
              <w:t>výsadba doprovodné zeleně (realizace zmírňujících a kompenzačních opatření pro minimalizaci negativních vlivů na životní prostředí)</w:t>
            </w:r>
            <w:r>
              <w:rPr>
                <w:sz w:val="20"/>
                <w:szCs w:val="20"/>
              </w:rPr>
              <w:t xml:space="preserve">.  </w:t>
            </w:r>
            <w:r w:rsidRPr="00AD6E18">
              <w:rPr>
                <w:sz w:val="20"/>
                <w:szCs w:val="20"/>
              </w:rPr>
              <w:t>Informace pro vyhodnocení kritéria lze čerpat ve Studii proveditelnosti, rozpočtu stavby či projektové dokumentaci, je-li předkládána.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186549" w:rsidRPr="005F46C0" w:rsidTr="00186549">
        <w:tc>
          <w:tcPr>
            <w:tcW w:w="2495" w:type="dxa"/>
            <w:shd w:val="clear" w:color="auto" w:fill="DEEAF6" w:themeFill="accent1" w:themeFillTint="33"/>
          </w:tcPr>
          <w:p w:rsidR="00186549" w:rsidRPr="00186549" w:rsidRDefault="00186549" w:rsidP="00186549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Odůvodnění výsledku hodnocení:</w:t>
            </w:r>
          </w:p>
        </w:tc>
        <w:tc>
          <w:tcPr>
            <w:tcW w:w="10116" w:type="dxa"/>
            <w:gridSpan w:val="2"/>
            <w:shd w:val="clear" w:color="auto" w:fill="DEEAF6" w:themeFill="accent1" w:themeFillTint="33"/>
          </w:tcPr>
          <w:p w:rsidR="00186549" w:rsidRDefault="00186549" w:rsidP="00186549">
            <w:pPr>
              <w:rPr>
                <w:sz w:val="20"/>
                <w:szCs w:val="20"/>
              </w:rPr>
            </w:pPr>
          </w:p>
          <w:p w:rsidR="00186549" w:rsidRDefault="00186549" w:rsidP="00186549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EEAF6" w:themeFill="accent1" w:themeFillTint="33"/>
          </w:tcPr>
          <w:p w:rsidR="00186549" w:rsidRPr="00186549" w:rsidRDefault="00186549" w:rsidP="00186549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Počet bodů: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</w:p>
          <w:p w:rsidR="00186549" w:rsidRDefault="00186549" w:rsidP="00186549">
            <w:pPr>
              <w:rPr>
                <w:sz w:val="20"/>
                <w:szCs w:val="20"/>
              </w:rPr>
            </w:pPr>
          </w:p>
        </w:tc>
      </w:tr>
      <w:tr w:rsidR="00186549" w:rsidRPr="005F46C0" w:rsidTr="00446CE3">
        <w:tc>
          <w:tcPr>
            <w:tcW w:w="2495" w:type="dxa"/>
            <w:vMerge w:val="restart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rámci projektu b</w:t>
            </w:r>
            <w:r w:rsidRPr="000A25AC">
              <w:rPr>
                <w:sz w:val="20"/>
                <w:szCs w:val="20"/>
              </w:rPr>
              <w:t xml:space="preserve">yla ukončena zadávací a </w:t>
            </w:r>
            <w:r w:rsidRPr="000A25AC">
              <w:rPr>
                <w:sz w:val="20"/>
                <w:szCs w:val="20"/>
              </w:rPr>
              <w:lastRenderedPageBreak/>
              <w:t>výběrová řízení na hlavní aktivity projektu.</w:t>
            </w:r>
            <w:r>
              <w:t xml:space="preserve">  </w:t>
            </w:r>
          </w:p>
        </w:tc>
        <w:tc>
          <w:tcPr>
            <w:tcW w:w="3596" w:type="dxa"/>
          </w:tcPr>
          <w:p w:rsidR="00186549" w:rsidRPr="005F46C0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bodů – k žádosti o podporu byly doloženy uzavřené smlouvy o dílo, resp. kupní smlouvy</w:t>
            </w:r>
          </w:p>
        </w:tc>
        <w:tc>
          <w:tcPr>
            <w:tcW w:w="6520" w:type="dxa"/>
          </w:tcPr>
          <w:p w:rsidR="00186549" w:rsidRDefault="00186549" w:rsidP="0018654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20 bodů – </w:t>
            </w:r>
            <w:r>
              <w:rPr>
                <w:sz w:val="20"/>
                <w:szCs w:val="20"/>
              </w:rPr>
              <w:t xml:space="preserve">Hodnotitel přidělí projektu </w:t>
            </w:r>
            <w:r w:rsidRPr="006C79F8">
              <w:rPr>
                <w:sz w:val="20"/>
                <w:szCs w:val="20"/>
              </w:rPr>
              <w:t xml:space="preserve">20 bodů, pokud </w:t>
            </w:r>
            <w:r>
              <w:rPr>
                <w:sz w:val="20"/>
                <w:szCs w:val="20"/>
              </w:rPr>
              <w:t xml:space="preserve"> b</w:t>
            </w:r>
            <w:r w:rsidRPr="006C79F8">
              <w:rPr>
                <w:sz w:val="20"/>
                <w:szCs w:val="20"/>
              </w:rPr>
              <w:t xml:space="preserve">yla ukončena zadávací a výběrová řízení na hlavní aktivity projektu: 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lastRenderedPageBreak/>
              <w:t xml:space="preserve">a) V případě, že stavební práce tvoří alespoň 40 % </w:t>
            </w:r>
            <w:r w:rsidRPr="00BF33F1">
              <w:rPr>
                <w:sz w:val="20"/>
                <w:szCs w:val="20"/>
              </w:rPr>
              <w:t>hlavních</w:t>
            </w:r>
            <w:r w:rsidRPr="006C79F8">
              <w:rPr>
                <w:sz w:val="20"/>
                <w:szCs w:val="20"/>
              </w:rPr>
              <w:t xml:space="preserve"> aktivit (dle výše způsobilých výdajů na hlavní aktivity v rozpočtu uvedeném v projektové žádosti), byly doloženy všechny uzavřené smlouvy o dílo na stavební práce. </w:t>
            </w:r>
          </w:p>
          <w:p w:rsidR="00186549" w:rsidRPr="005F46C0" w:rsidRDefault="00186549" w:rsidP="0018654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hlavních aktivit (dle výše způsobilých výdajů na hlavní aktivity v rozpočtu uvedeném v projektové žádosti), byly doloženy všechny uzavřené kupní smlouvy na dodávky. </w:t>
            </w:r>
          </w:p>
        </w:tc>
        <w:tc>
          <w:tcPr>
            <w:tcW w:w="2777" w:type="dxa"/>
            <w:vMerge w:val="restart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Žádost o podporu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Smlouvy o dílo</w:t>
            </w:r>
          </w:p>
          <w:p w:rsidR="00186549" w:rsidRPr="006C79F8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Kupní smlouvy</w:t>
            </w:r>
          </w:p>
        </w:tc>
      </w:tr>
      <w:tr w:rsidR="00186549" w:rsidRPr="005F46C0" w:rsidTr="00446CE3">
        <w:tc>
          <w:tcPr>
            <w:tcW w:w="2495" w:type="dxa"/>
            <w:vMerge/>
          </w:tcPr>
          <w:p w:rsidR="00186549" w:rsidRDefault="00186549" w:rsidP="00186549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186549" w:rsidRPr="005F46C0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k žádosti o podporu nebyly doloženy uzavřené smlouvy o dílo, resp. kupní smlouvy</w:t>
            </w:r>
          </w:p>
        </w:tc>
        <w:tc>
          <w:tcPr>
            <w:tcW w:w="6520" w:type="dxa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Hodnotitel přidělí projektu 0 bodů, pokud n</w:t>
            </w:r>
            <w:r w:rsidRPr="006C79F8">
              <w:rPr>
                <w:sz w:val="20"/>
                <w:szCs w:val="20"/>
              </w:rPr>
              <w:t xml:space="preserve">ebyla ukončena zadávací a výběrová řízení na hlavní aktivity projektu: 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>a) V případě, že stavební práce tvoří alespoň 40 % hlavních aktivit (dle výše způsobilých výdajů na hlavní aktivity v rozpočtu uvedeném v projektové žádosti), nebyly doloženy všechny uzavřené sm</w:t>
            </w:r>
            <w:r>
              <w:rPr>
                <w:sz w:val="20"/>
                <w:szCs w:val="20"/>
              </w:rPr>
              <w:t xml:space="preserve">louvy o dílo na stavební práce. </w:t>
            </w:r>
          </w:p>
          <w:p w:rsidR="00186549" w:rsidRPr="005F46C0" w:rsidRDefault="00186549" w:rsidP="0018654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hlavních aktivit (dle výše způsobilých výdajů na hlavní aktivity v rozpočtu uvedeném v projektové žádosti), nebyly doloženy všechny uzavřené kupní smlouvy na dodávky. </w:t>
            </w:r>
          </w:p>
        </w:tc>
        <w:tc>
          <w:tcPr>
            <w:tcW w:w="2777" w:type="dxa"/>
            <w:vMerge/>
          </w:tcPr>
          <w:p w:rsidR="00186549" w:rsidRDefault="00186549" w:rsidP="00186549">
            <w:pPr>
              <w:rPr>
                <w:sz w:val="20"/>
                <w:szCs w:val="20"/>
              </w:rPr>
            </w:pPr>
          </w:p>
        </w:tc>
      </w:tr>
      <w:tr w:rsidR="00186549" w:rsidRPr="005F46C0" w:rsidTr="003029D2">
        <w:tc>
          <w:tcPr>
            <w:tcW w:w="2495" w:type="dxa"/>
            <w:shd w:val="clear" w:color="auto" w:fill="DEEAF6" w:themeFill="accent1" w:themeFillTint="33"/>
          </w:tcPr>
          <w:p w:rsidR="00186549" w:rsidRPr="00186549" w:rsidRDefault="00186549" w:rsidP="00186549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Odůvodnění výsledku hodnocení:</w:t>
            </w:r>
          </w:p>
        </w:tc>
        <w:tc>
          <w:tcPr>
            <w:tcW w:w="10116" w:type="dxa"/>
            <w:gridSpan w:val="2"/>
            <w:shd w:val="clear" w:color="auto" w:fill="DEEAF6" w:themeFill="accent1" w:themeFillTint="33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</w:p>
          <w:p w:rsidR="00186549" w:rsidRDefault="00186549" w:rsidP="00186549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EEAF6" w:themeFill="accent1" w:themeFillTint="33"/>
          </w:tcPr>
          <w:p w:rsidR="00186549" w:rsidRPr="00186549" w:rsidRDefault="00186549" w:rsidP="00186549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Počet bodů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86549" w:rsidRPr="005F46C0" w:rsidTr="00446CE3">
        <w:tc>
          <w:tcPr>
            <w:tcW w:w="2495" w:type="dxa"/>
            <w:vMerge w:val="restart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Finanční objem projektu (zaokrouhleno na celé koruny nahoru)</w:t>
            </w:r>
          </w:p>
        </w:tc>
        <w:tc>
          <w:tcPr>
            <w:tcW w:w="3596" w:type="dxa"/>
            <w:vAlign w:val="center"/>
          </w:tcPr>
          <w:p w:rsidR="00186549" w:rsidRPr="00720717" w:rsidRDefault="00186549" w:rsidP="00186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0717">
              <w:rPr>
                <w:sz w:val="20"/>
                <w:szCs w:val="20"/>
              </w:rPr>
              <w:t xml:space="preserve">0 bodů – </w:t>
            </w:r>
            <w:r>
              <w:rPr>
                <w:sz w:val="20"/>
                <w:szCs w:val="20"/>
              </w:rPr>
              <w:t xml:space="preserve"> výše celkových způsobilých výdajů (CZV) je do 1 200 000,-  Kč včetně</w:t>
            </w:r>
          </w:p>
        </w:tc>
        <w:tc>
          <w:tcPr>
            <w:tcW w:w="6520" w:type="dxa"/>
          </w:tcPr>
          <w:p w:rsidR="00186549" w:rsidRPr="00720717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bodů – Hodnotitel přidělí 3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 xml:space="preserve">, pokud CZV projektu nebudou vyšší než 1 200 000,-  Kč včetně </w:t>
            </w:r>
          </w:p>
        </w:tc>
        <w:tc>
          <w:tcPr>
            <w:tcW w:w="2777" w:type="dxa"/>
            <w:vMerge w:val="restart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dotaci</w:t>
            </w:r>
          </w:p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kap. 10</w:t>
            </w:r>
          </w:p>
          <w:p w:rsidR="00186549" w:rsidRPr="00720717" w:rsidRDefault="00186549" w:rsidP="00186549">
            <w:pPr>
              <w:rPr>
                <w:sz w:val="20"/>
                <w:szCs w:val="20"/>
              </w:rPr>
            </w:pPr>
          </w:p>
        </w:tc>
      </w:tr>
      <w:tr w:rsidR="00186549" w:rsidRPr="005F46C0" w:rsidTr="00446CE3">
        <w:tc>
          <w:tcPr>
            <w:tcW w:w="2495" w:type="dxa"/>
            <w:vMerge/>
          </w:tcPr>
          <w:p w:rsidR="00186549" w:rsidRDefault="00186549" w:rsidP="00186549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:rsidR="00186549" w:rsidRPr="00720717" w:rsidRDefault="00186549" w:rsidP="00186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0717">
              <w:rPr>
                <w:sz w:val="20"/>
                <w:szCs w:val="20"/>
              </w:rPr>
              <w:t xml:space="preserve"> bodů</w:t>
            </w:r>
            <w:r>
              <w:rPr>
                <w:sz w:val="20"/>
                <w:szCs w:val="20"/>
              </w:rPr>
              <w:t xml:space="preserve"> </w:t>
            </w:r>
            <w:r w:rsidRPr="0072071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výše celkových způsobilých výdajů (CZV) je od 1 200 001,- do 1 500 000,-  Kč včetně</w:t>
            </w:r>
          </w:p>
        </w:tc>
        <w:tc>
          <w:tcPr>
            <w:tcW w:w="6520" w:type="dxa"/>
          </w:tcPr>
          <w:p w:rsidR="00186549" w:rsidRPr="00720717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Hodnotitel přidělí 2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>, pokud CZV projektu budou od 1 200 001,- do 1 700 000,-  Kč včetně</w:t>
            </w:r>
          </w:p>
        </w:tc>
        <w:tc>
          <w:tcPr>
            <w:tcW w:w="2777" w:type="dxa"/>
            <w:vMerge/>
          </w:tcPr>
          <w:p w:rsidR="00186549" w:rsidRPr="00720717" w:rsidRDefault="00186549" w:rsidP="00186549">
            <w:pPr>
              <w:rPr>
                <w:sz w:val="20"/>
                <w:szCs w:val="20"/>
              </w:rPr>
            </w:pPr>
          </w:p>
        </w:tc>
      </w:tr>
      <w:tr w:rsidR="00186549" w:rsidRPr="005F46C0" w:rsidTr="00446CE3">
        <w:tc>
          <w:tcPr>
            <w:tcW w:w="2495" w:type="dxa"/>
            <w:vMerge/>
          </w:tcPr>
          <w:p w:rsidR="00186549" w:rsidRDefault="00186549" w:rsidP="00186549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:rsidR="00186549" w:rsidRDefault="00186549" w:rsidP="00186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– výše celkových způsobilých výdajů (CZV) je nad 1 700 000,- Kč </w:t>
            </w:r>
          </w:p>
        </w:tc>
        <w:tc>
          <w:tcPr>
            <w:tcW w:w="6520" w:type="dxa"/>
          </w:tcPr>
          <w:p w:rsidR="00186549" w:rsidRDefault="00186549" w:rsidP="001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Hodnotitel přidělí 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>, pokud budou CZV vyšší než 1 700 000,- Kč.</w:t>
            </w:r>
          </w:p>
        </w:tc>
        <w:tc>
          <w:tcPr>
            <w:tcW w:w="2777" w:type="dxa"/>
            <w:vMerge/>
          </w:tcPr>
          <w:p w:rsidR="00186549" w:rsidRPr="00720717" w:rsidRDefault="00186549" w:rsidP="00186549">
            <w:pPr>
              <w:rPr>
                <w:sz w:val="20"/>
                <w:szCs w:val="20"/>
              </w:rPr>
            </w:pPr>
          </w:p>
        </w:tc>
      </w:tr>
      <w:tr w:rsidR="00186549" w:rsidRPr="005F46C0" w:rsidTr="004B588D">
        <w:tc>
          <w:tcPr>
            <w:tcW w:w="2495" w:type="dxa"/>
            <w:shd w:val="clear" w:color="auto" w:fill="DEEAF6" w:themeFill="accent1" w:themeFillTint="33"/>
          </w:tcPr>
          <w:p w:rsidR="00186549" w:rsidRPr="00186549" w:rsidRDefault="00186549" w:rsidP="001824C4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Odůvodnění výsledku hodnocení:</w:t>
            </w:r>
          </w:p>
        </w:tc>
        <w:tc>
          <w:tcPr>
            <w:tcW w:w="10116" w:type="dxa"/>
            <w:gridSpan w:val="2"/>
            <w:shd w:val="clear" w:color="auto" w:fill="DEEAF6" w:themeFill="accent1" w:themeFillTint="33"/>
          </w:tcPr>
          <w:p w:rsidR="00186549" w:rsidRDefault="00186549" w:rsidP="0018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6549" w:rsidRDefault="00186549" w:rsidP="001824C4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DEEAF6" w:themeFill="accent1" w:themeFillTint="33"/>
          </w:tcPr>
          <w:p w:rsidR="00186549" w:rsidRDefault="00186549" w:rsidP="001824C4">
            <w:pPr>
              <w:rPr>
                <w:b/>
                <w:sz w:val="20"/>
                <w:szCs w:val="20"/>
              </w:rPr>
            </w:pPr>
            <w:r w:rsidRPr="00186549">
              <w:rPr>
                <w:b/>
                <w:sz w:val="20"/>
                <w:szCs w:val="20"/>
              </w:rPr>
              <w:t>Počet bodů:</w:t>
            </w:r>
          </w:p>
          <w:p w:rsidR="00186549" w:rsidRDefault="00186549" w:rsidP="001824C4">
            <w:pPr>
              <w:rPr>
                <w:b/>
                <w:sz w:val="20"/>
                <w:szCs w:val="20"/>
              </w:rPr>
            </w:pPr>
          </w:p>
          <w:p w:rsidR="00186549" w:rsidRPr="00186549" w:rsidRDefault="00186549" w:rsidP="001824C4">
            <w:pPr>
              <w:rPr>
                <w:b/>
                <w:sz w:val="20"/>
                <w:szCs w:val="20"/>
              </w:rPr>
            </w:pPr>
          </w:p>
        </w:tc>
      </w:tr>
    </w:tbl>
    <w:p w:rsidR="00C02FFC" w:rsidRDefault="00C02FFC" w:rsidP="00C02FFC">
      <w:pPr>
        <w:rPr>
          <w:sz w:val="20"/>
          <w:szCs w:val="20"/>
        </w:rPr>
      </w:pPr>
    </w:p>
    <w:tbl>
      <w:tblPr>
        <w:tblStyle w:val="Mkatabulky"/>
        <w:tblW w:w="0" w:type="auto"/>
        <w:tblInd w:w="8359" w:type="dxa"/>
        <w:tblLook w:val="04A0" w:firstRow="1" w:lastRow="0" w:firstColumn="1" w:lastColumn="0" w:noHBand="0" w:noVBand="1"/>
      </w:tblPr>
      <w:tblGrid>
        <w:gridCol w:w="4252"/>
        <w:gridCol w:w="2777"/>
      </w:tblGrid>
      <w:tr w:rsidR="00C02FFC" w:rsidTr="001824C4">
        <w:tc>
          <w:tcPr>
            <w:tcW w:w="4252" w:type="dxa"/>
            <w:shd w:val="clear" w:color="auto" w:fill="BDD6EE" w:themeFill="accent1" w:themeFillTint="66"/>
          </w:tcPr>
          <w:p w:rsidR="00C02FFC" w:rsidRPr="006F215B" w:rsidRDefault="00C02FFC" w:rsidP="001824C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</w:p>
          <w:p w:rsidR="00C02FFC" w:rsidRPr="006F215B" w:rsidRDefault="00C02FFC" w:rsidP="001824C4">
            <w:pPr>
              <w:rPr>
                <w:b/>
                <w:sz w:val="24"/>
                <w:szCs w:val="24"/>
              </w:rPr>
            </w:pPr>
            <w:r w:rsidRPr="006F215B">
              <w:rPr>
                <w:b/>
                <w:sz w:val="24"/>
                <w:szCs w:val="24"/>
              </w:rPr>
              <w:t xml:space="preserve">CELKOVÝ POČET PŘIDĚLENÝCH BODŮ    </w:t>
            </w:r>
          </w:p>
          <w:p w:rsidR="00C02FFC" w:rsidRPr="006F215B" w:rsidRDefault="00C02FFC" w:rsidP="001824C4">
            <w:pPr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BDD6EE" w:themeFill="accent1" w:themeFillTint="66"/>
          </w:tcPr>
          <w:p w:rsidR="00C02FFC" w:rsidRPr="006F215B" w:rsidRDefault="00C02FFC" w:rsidP="001824C4">
            <w:pPr>
              <w:rPr>
                <w:b/>
                <w:sz w:val="24"/>
                <w:szCs w:val="24"/>
              </w:rPr>
            </w:pPr>
          </w:p>
          <w:p w:rsidR="00C02FFC" w:rsidRPr="006F215B" w:rsidRDefault="00C02FFC" w:rsidP="0018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702A" w:rsidRDefault="00E1702A" w:rsidP="00C02FFC">
      <w:pPr>
        <w:rPr>
          <w:sz w:val="24"/>
          <w:szCs w:val="24"/>
        </w:rPr>
      </w:pPr>
    </w:p>
    <w:p w:rsidR="00C02FFC" w:rsidRPr="008C4DE7" w:rsidRDefault="00C02FFC" w:rsidP="00C02FFC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Minimální počet bodů, aby žádost o podporu splnila podmínky věcného hodnocení:   </w:t>
      </w:r>
      <w:r>
        <w:rPr>
          <w:b/>
          <w:sz w:val="24"/>
          <w:szCs w:val="24"/>
        </w:rPr>
        <w:t>40</w:t>
      </w:r>
    </w:p>
    <w:p w:rsidR="00C02FFC" w:rsidRPr="008C4DE7" w:rsidRDefault="00C02FFC" w:rsidP="00C02FFC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Maximální počet bodů:  </w:t>
      </w:r>
      <w:r>
        <w:rPr>
          <w:b/>
          <w:sz w:val="24"/>
          <w:szCs w:val="24"/>
        </w:rPr>
        <w:t>80</w:t>
      </w:r>
    </w:p>
    <w:p w:rsidR="00C02FFC" w:rsidRDefault="00C02FFC" w:rsidP="00C02FFC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Datum hodnocení: </w:t>
      </w:r>
      <w:r>
        <w:rPr>
          <w:sz w:val="24"/>
          <w:szCs w:val="24"/>
        </w:rPr>
        <w:t xml:space="preserve"> </w:t>
      </w:r>
    </w:p>
    <w:p w:rsidR="00C02FFC" w:rsidRDefault="00C02FFC" w:rsidP="00C02FFC">
      <w:pPr>
        <w:rPr>
          <w:sz w:val="24"/>
          <w:szCs w:val="24"/>
        </w:rPr>
      </w:pPr>
    </w:p>
    <w:p w:rsidR="00C02FFC" w:rsidRPr="008C4DE7" w:rsidRDefault="00C02FFC" w:rsidP="00C02FFC">
      <w:pPr>
        <w:rPr>
          <w:sz w:val="24"/>
          <w:szCs w:val="24"/>
        </w:rPr>
      </w:pPr>
    </w:p>
    <w:p w:rsidR="00C02FFC" w:rsidRDefault="00C02FFC" w:rsidP="00C02FFC">
      <w:r>
        <w:rPr>
          <w:b/>
          <w:sz w:val="24"/>
          <w:szCs w:val="24"/>
        </w:rPr>
        <w:t xml:space="preserve">             </w:t>
      </w:r>
      <w:r w:rsidRPr="008C4DE7">
        <w:rPr>
          <w:b/>
          <w:sz w:val="24"/>
          <w:szCs w:val="24"/>
        </w:rPr>
        <w:t>Výsledek věcného hodnocení:</w:t>
      </w:r>
      <w:r w:rsidRPr="008C4DE7">
        <w:rPr>
          <w:sz w:val="24"/>
          <w:szCs w:val="24"/>
        </w:rPr>
        <w:t xml:space="preserve">  Žádost o podporu splnila/</w:t>
      </w:r>
      <w:r w:rsidRPr="00763855">
        <w:rPr>
          <w:sz w:val="24"/>
          <w:szCs w:val="24"/>
        </w:rPr>
        <w:t>nesplnila</w:t>
      </w:r>
      <w:r w:rsidRPr="008C4DE7">
        <w:rPr>
          <w:sz w:val="24"/>
          <w:szCs w:val="24"/>
        </w:rPr>
        <w:t xml:space="preserve"> podmínky věcného hodnocení.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14"/>
        <w:gridCol w:w="3402"/>
        <w:gridCol w:w="3118"/>
        <w:gridCol w:w="2961"/>
      </w:tblGrid>
      <w:tr w:rsidR="00C02FFC" w:rsidRPr="009C13F7" w:rsidTr="001824C4">
        <w:trPr>
          <w:trHeight w:val="52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</w:pPr>
            <w:bookmarkStart w:id="1" w:name="RANGE!A2:E17"/>
            <w:r w:rsidRPr="009C13F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  <w:t>Prezenční listina z jednání výběrového orgánu pro výzvu MAS</w:t>
            </w:r>
            <w:bookmarkEnd w:id="1"/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  <w:t xml:space="preserve"> Hradecký venkov</w:t>
            </w:r>
          </w:p>
        </w:tc>
      </w:tr>
      <w:tr w:rsidR="00C02FFC" w:rsidRPr="009C13F7" w:rsidTr="001824C4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Číslo výzvy MAS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E1702A" w:rsidP="00E1702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C02FFC" w:rsidRPr="00EF249B">
              <w:rPr>
                <w:rFonts w:cstheme="minorHAnsi"/>
                <w:b/>
                <w:bCs/>
              </w:rPr>
              <w:t xml:space="preserve">_IROP_ MAS Hradecký venkov – </w:t>
            </w:r>
            <w:r>
              <w:rPr>
                <w:rFonts w:cstheme="minorHAnsi"/>
                <w:b/>
                <w:bCs/>
              </w:rPr>
              <w:t>Bezpečnost dopravy</w:t>
            </w:r>
          </w:p>
        </w:tc>
      </w:tr>
      <w:tr w:rsidR="00C02FFC" w:rsidRPr="009C13F7" w:rsidTr="001824C4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Datum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2FFC" w:rsidRPr="009C13F7" w:rsidTr="001824C4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Čas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2FFC" w:rsidRPr="009C13F7" w:rsidTr="001824C4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Místo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2FFC" w:rsidRPr="009C13F7" w:rsidTr="001824C4">
        <w:trPr>
          <w:trHeight w:val="458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Výběrový orgán schválen MAS ke dni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8. 2. 2018</w:t>
            </w:r>
          </w:p>
        </w:tc>
      </w:tr>
      <w:tr w:rsidR="00C02FFC" w:rsidRPr="009C13F7" w:rsidTr="001824C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FFC" w:rsidRPr="00EF249B" w:rsidTr="001824C4">
        <w:trPr>
          <w:trHeight w:val="49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Titul, jméno a příjmení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subjektu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Sektor</w:t>
            </w: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MUDr. František Hošek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Myslivecký spolek Lověna Nechanice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RNDr. František Bárta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RNDr. František Bárta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Pavel Mrkvička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Třesovice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Jaroslava Slavíková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Libčany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Zuzana Chalupová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Občanské sdružení pro mezinárodní partnerství v Libčanech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Aleš Krátký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Sovětice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Ing. Dagmar Smetiprachová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Stěžery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Jitka Kulhánková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Lochenice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Prof. RNDr. Aleš Macela Dr.Cs.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Prof. RNDr. Aleš Macela Dr.Cs.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Ing. Petra Škopová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BERDA, z.s.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Jana Pečenková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Obec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Mokrovousy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Bc. Hana Pekárková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Pracoviště ošetřovatelské péče s.r.o. Hradec Králové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podnikatelský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Oblastní charita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Mgr. Václav Hrček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02FFC" w:rsidRPr="009C13F7" w:rsidTr="001824C4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AURA truhlářství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Oliva Gabrielová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FFC" w:rsidRPr="009C13F7" w:rsidRDefault="00C02FFC" w:rsidP="001824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soukromý-podnikatelský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FFC" w:rsidRPr="009C13F7" w:rsidRDefault="00C02FFC" w:rsidP="0018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02FFC" w:rsidRDefault="00C02FFC" w:rsidP="00C02FFC">
      <w:pPr>
        <w:rPr>
          <w:sz w:val="20"/>
          <w:szCs w:val="20"/>
        </w:rPr>
      </w:pPr>
    </w:p>
    <w:p w:rsidR="00C02FFC" w:rsidRDefault="00C02FFC" w:rsidP="00C02FFC">
      <w:pPr>
        <w:spacing w:after="0" w:line="240" w:lineRule="auto"/>
      </w:pPr>
    </w:p>
    <w:p w:rsidR="00C02FFC" w:rsidRDefault="00C02FFC" w:rsidP="00C02FFC">
      <w:pPr>
        <w:spacing w:after="0" w:line="240" w:lineRule="auto"/>
      </w:pPr>
      <w:r w:rsidRPr="001C5437">
        <w:t>Poznámka: podle skutečného počtu přítomných členů VK, kteří budou provádět a schvalovat věcné hodnocení bude doplněna aktuální hlasovací tabulka, ve které je sledováno zastoupení sektorů a zájmových skupin – viz níže uvedený vzor</w:t>
      </w:r>
    </w:p>
    <w:p w:rsidR="00C02FFC" w:rsidRDefault="00C02FFC" w:rsidP="00C02FFC">
      <w:pPr>
        <w:spacing w:after="0" w:line="240" w:lineRule="auto"/>
      </w:pPr>
    </w:p>
    <w:p w:rsidR="00C02FFC" w:rsidRPr="001C5437" w:rsidRDefault="00C02FFC" w:rsidP="00C02FFC">
      <w:pPr>
        <w:spacing w:after="0" w:line="240" w:lineRule="auto"/>
      </w:pPr>
    </w:p>
    <w:p w:rsidR="00C02FFC" w:rsidRDefault="00C02FFC" w:rsidP="00C02FFC">
      <w:pPr>
        <w:rPr>
          <w:sz w:val="20"/>
          <w:szCs w:val="20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18"/>
        <w:gridCol w:w="993"/>
        <w:gridCol w:w="1217"/>
        <w:gridCol w:w="1340"/>
      </w:tblGrid>
      <w:tr w:rsidR="00C02FFC" w:rsidRPr="00B57FFB" w:rsidTr="001824C4">
        <w:trPr>
          <w:trHeight w:val="9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FC" w:rsidRPr="00B57FFB" w:rsidRDefault="00C02FFC" w:rsidP="00182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Sektor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FC" w:rsidRPr="00B57FFB" w:rsidRDefault="00C02FFC" w:rsidP="00182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FC" w:rsidRPr="00B57FFB" w:rsidRDefault="00C02FFC" w:rsidP="00182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FC" w:rsidRPr="00B57FFB" w:rsidRDefault="00C02FFC" w:rsidP="00182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FC" w:rsidRPr="00B57FFB" w:rsidRDefault="00C02FFC" w:rsidP="00182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hlasovacích práv - Relativní vyjádření</w:t>
            </w:r>
          </w:p>
        </w:tc>
      </w:tr>
      <w:tr w:rsidR="00C02FFC" w:rsidRPr="00B57FFB" w:rsidTr="001824C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C02FFC" w:rsidRPr="00B57FFB" w:rsidTr="001824C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Soukromý - neziskový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C02FFC" w:rsidRPr="00B57FFB" w:rsidTr="001824C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Soukromý - podnikatelský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FFC" w:rsidRPr="00B57FFB" w:rsidTr="001824C4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FFC" w:rsidRPr="00B57FFB" w:rsidTr="001824C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Zájmové skupiny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veřejné služby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volný čas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správa území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životní prostředí a infrastruktura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podnikání a zaměstnanost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zemědělství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</w:tr>
      <w:tr w:rsidR="00C02FFC" w:rsidRPr="00B57FFB" w:rsidTr="001824C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cestovní ruch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02FFC" w:rsidRPr="00B57FFB" w:rsidRDefault="00C02FFC" w:rsidP="00182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</w:tr>
    </w:tbl>
    <w:p w:rsidR="00C02FFC" w:rsidRDefault="00C02FFC" w:rsidP="00C02FFC"/>
    <w:p w:rsidR="00C02FFC" w:rsidRDefault="00C02FFC" w:rsidP="00E24B58">
      <w:pPr>
        <w:rPr>
          <w:sz w:val="20"/>
          <w:szCs w:val="20"/>
        </w:rPr>
      </w:pPr>
    </w:p>
    <w:sectPr w:rsidR="00C02FFC" w:rsidSect="00E24B5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31" w:rsidRDefault="000A7231" w:rsidP="008504E3">
      <w:pPr>
        <w:spacing w:after="0" w:line="240" w:lineRule="auto"/>
      </w:pPr>
      <w:r>
        <w:separator/>
      </w:r>
    </w:p>
  </w:endnote>
  <w:endnote w:type="continuationSeparator" w:id="0">
    <w:p w:rsidR="000A7231" w:rsidRDefault="000A7231" w:rsidP="008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052827"/>
      <w:docPartObj>
        <w:docPartGallery w:val="Page Numbers (Bottom of Page)"/>
        <w:docPartUnique/>
      </w:docPartObj>
    </w:sdtPr>
    <w:sdtEndPr/>
    <w:sdtContent>
      <w:p w:rsidR="008504E3" w:rsidRDefault="008504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F9">
          <w:t>5</w:t>
        </w:r>
        <w:r>
          <w:fldChar w:fldCharType="end"/>
        </w:r>
      </w:p>
    </w:sdtContent>
  </w:sdt>
  <w:p w:rsidR="008504E3" w:rsidRDefault="00850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31" w:rsidRDefault="000A7231" w:rsidP="008504E3">
      <w:pPr>
        <w:spacing w:after="0" w:line="240" w:lineRule="auto"/>
      </w:pPr>
      <w:r>
        <w:separator/>
      </w:r>
    </w:p>
  </w:footnote>
  <w:footnote w:type="continuationSeparator" w:id="0">
    <w:p w:rsidR="000A7231" w:rsidRDefault="000A7231" w:rsidP="0085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A29"/>
    <w:multiLevelType w:val="hybridMultilevel"/>
    <w:tmpl w:val="CFC2EB96"/>
    <w:lvl w:ilvl="0" w:tplc="676AD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36CA"/>
    <w:multiLevelType w:val="hybridMultilevel"/>
    <w:tmpl w:val="24D20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08D3"/>
    <w:multiLevelType w:val="hybridMultilevel"/>
    <w:tmpl w:val="5A98CF04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4899"/>
    <w:multiLevelType w:val="multilevel"/>
    <w:tmpl w:val="9F364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523273"/>
    <w:multiLevelType w:val="hybridMultilevel"/>
    <w:tmpl w:val="446AE940"/>
    <w:lvl w:ilvl="0" w:tplc="9C10A6B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B2F0B"/>
    <w:multiLevelType w:val="hybridMultilevel"/>
    <w:tmpl w:val="F100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32D4B"/>
    <w:multiLevelType w:val="multilevel"/>
    <w:tmpl w:val="81ECA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B9F035C"/>
    <w:multiLevelType w:val="multilevel"/>
    <w:tmpl w:val="3CB8A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EB0366F"/>
    <w:multiLevelType w:val="hybridMultilevel"/>
    <w:tmpl w:val="DDD4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3FA9"/>
    <w:multiLevelType w:val="hybridMultilevel"/>
    <w:tmpl w:val="0B16A9AE"/>
    <w:lvl w:ilvl="0" w:tplc="9C10A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F3E71"/>
    <w:multiLevelType w:val="hybridMultilevel"/>
    <w:tmpl w:val="6FC435EE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0107B"/>
    <w:multiLevelType w:val="hybridMultilevel"/>
    <w:tmpl w:val="80D63B16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7"/>
    <w:rsid w:val="000173D2"/>
    <w:rsid w:val="00023218"/>
    <w:rsid w:val="0002535F"/>
    <w:rsid w:val="000A25AC"/>
    <w:rsid w:val="000A7231"/>
    <w:rsid w:val="000B2156"/>
    <w:rsid w:val="000D5520"/>
    <w:rsid w:val="000F082E"/>
    <w:rsid w:val="00106E16"/>
    <w:rsid w:val="0012765A"/>
    <w:rsid w:val="00130F1D"/>
    <w:rsid w:val="00136348"/>
    <w:rsid w:val="00156489"/>
    <w:rsid w:val="001572A9"/>
    <w:rsid w:val="00164EA0"/>
    <w:rsid w:val="00166450"/>
    <w:rsid w:val="00186549"/>
    <w:rsid w:val="00187E7D"/>
    <w:rsid w:val="001D3F84"/>
    <w:rsid w:val="00212B7B"/>
    <w:rsid w:val="00232949"/>
    <w:rsid w:val="00233B76"/>
    <w:rsid w:val="00271CF4"/>
    <w:rsid w:val="002938CF"/>
    <w:rsid w:val="002D319A"/>
    <w:rsid w:val="002F1165"/>
    <w:rsid w:val="00311560"/>
    <w:rsid w:val="0033457E"/>
    <w:rsid w:val="00342FD7"/>
    <w:rsid w:val="00347DB7"/>
    <w:rsid w:val="00373E5F"/>
    <w:rsid w:val="003973F1"/>
    <w:rsid w:val="003A3EF6"/>
    <w:rsid w:val="003A50E7"/>
    <w:rsid w:val="003C525C"/>
    <w:rsid w:val="003C5D1C"/>
    <w:rsid w:val="00407B8A"/>
    <w:rsid w:val="00425772"/>
    <w:rsid w:val="00433F15"/>
    <w:rsid w:val="00446CE3"/>
    <w:rsid w:val="004573AB"/>
    <w:rsid w:val="00491611"/>
    <w:rsid w:val="004A3D23"/>
    <w:rsid w:val="004C49DC"/>
    <w:rsid w:val="004C5E35"/>
    <w:rsid w:val="004E60E5"/>
    <w:rsid w:val="005465FC"/>
    <w:rsid w:val="005A7EC6"/>
    <w:rsid w:val="005C12F3"/>
    <w:rsid w:val="005F46C0"/>
    <w:rsid w:val="00646071"/>
    <w:rsid w:val="0065038F"/>
    <w:rsid w:val="006645C8"/>
    <w:rsid w:val="006805F1"/>
    <w:rsid w:val="00693FCB"/>
    <w:rsid w:val="006966BA"/>
    <w:rsid w:val="006C37A6"/>
    <w:rsid w:val="006C4ED8"/>
    <w:rsid w:val="006C79F8"/>
    <w:rsid w:val="006D1FAA"/>
    <w:rsid w:val="006E5282"/>
    <w:rsid w:val="00702A35"/>
    <w:rsid w:val="00705A62"/>
    <w:rsid w:val="00714337"/>
    <w:rsid w:val="00720717"/>
    <w:rsid w:val="00733213"/>
    <w:rsid w:val="00752DA3"/>
    <w:rsid w:val="007B699D"/>
    <w:rsid w:val="007F2DEA"/>
    <w:rsid w:val="00810D20"/>
    <w:rsid w:val="00831DE3"/>
    <w:rsid w:val="00832B44"/>
    <w:rsid w:val="0083726E"/>
    <w:rsid w:val="008504E3"/>
    <w:rsid w:val="00863EA7"/>
    <w:rsid w:val="008679B4"/>
    <w:rsid w:val="00876D3A"/>
    <w:rsid w:val="00887829"/>
    <w:rsid w:val="00896B21"/>
    <w:rsid w:val="008B173F"/>
    <w:rsid w:val="008E1238"/>
    <w:rsid w:val="008E4434"/>
    <w:rsid w:val="00902AE2"/>
    <w:rsid w:val="00940E19"/>
    <w:rsid w:val="00942325"/>
    <w:rsid w:val="009748DA"/>
    <w:rsid w:val="009A2A68"/>
    <w:rsid w:val="009D3C91"/>
    <w:rsid w:val="00A36938"/>
    <w:rsid w:val="00A45667"/>
    <w:rsid w:val="00A55172"/>
    <w:rsid w:val="00A56F72"/>
    <w:rsid w:val="00A73468"/>
    <w:rsid w:val="00A745E1"/>
    <w:rsid w:val="00A82E55"/>
    <w:rsid w:val="00AC0E6E"/>
    <w:rsid w:val="00AC11ED"/>
    <w:rsid w:val="00AD6E18"/>
    <w:rsid w:val="00B05E73"/>
    <w:rsid w:val="00B25E54"/>
    <w:rsid w:val="00B26F54"/>
    <w:rsid w:val="00B36337"/>
    <w:rsid w:val="00B46150"/>
    <w:rsid w:val="00B6093E"/>
    <w:rsid w:val="00B74DCE"/>
    <w:rsid w:val="00B7570C"/>
    <w:rsid w:val="00B95AE3"/>
    <w:rsid w:val="00C02FFC"/>
    <w:rsid w:val="00C07DEA"/>
    <w:rsid w:val="00C2181D"/>
    <w:rsid w:val="00C30E1C"/>
    <w:rsid w:val="00C77CC5"/>
    <w:rsid w:val="00CA67A3"/>
    <w:rsid w:val="00CB1718"/>
    <w:rsid w:val="00CE0A3F"/>
    <w:rsid w:val="00CE5E17"/>
    <w:rsid w:val="00D04774"/>
    <w:rsid w:val="00D37402"/>
    <w:rsid w:val="00D57354"/>
    <w:rsid w:val="00D57F17"/>
    <w:rsid w:val="00D633F1"/>
    <w:rsid w:val="00D93B3D"/>
    <w:rsid w:val="00D94290"/>
    <w:rsid w:val="00E004FD"/>
    <w:rsid w:val="00E06053"/>
    <w:rsid w:val="00E13EEC"/>
    <w:rsid w:val="00E16BC9"/>
    <w:rsid w:val="00E1702A"/>
    <w:rsid w:val="00E24B58"/>
    <w:rsid w:val="00E25441"/>
    <w:rsid w:val="00E559F6"/>
    <w:rsid w:val="00E640F9"/>
    <w:rsid w:val="00E763A7"/>
    <w:rsid w:val="00E83692"/>
    <w:rsid w:val="00E86FE9"/>
    <w:rsid w:val="00EA5B5E"/>
    <w:rsid w:val="00EB14C1"/>
    <w:rsid w:val="00EC220D"/>
    <w:rsid w:val="00EC67C5"/>
    <w:rsid w:val="00EE7485"/>
    <w:rsid w:val="00F4408A"/>
    <w:rsid w:val="00F77600"/>
    <w:rsid w:val="00F809DE"/>
    <w:rsid w:val="00F95643"/>
    <w:rsid w:val="00FD6783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8446"/>
  <w15:chartTrackingRefBased/>
  <w15:docId w15:val="{94CCCE93-0CE5-4358-B218-A60BF43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E1238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kern w:val="3"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E24B58"/>
    <w:pPr>
      <w:ind w:left="720"/>
      <w:contextualSpacing/>
    </w:pPr>
  </w:style>
  <w:style w:type="table" w:styleId="Mkatabulky">
    <w:name w:val="Table Grid"/>
    <w:basedOn w:val="Normlntabulka"/>
    <w:uiPriority w:val="39"/>
    <w:rsid w:val="00E2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2938CF"/>
    <w:rPr>
      <w:noProof/>
    </w:rPr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E123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 w:bidi="en-US"/>
    </w:rPr>
  </w:style>
  <w:style w:type="paragraph" w:customStyle="1" w:styleId="Standard">
    <w:name w:val="Standard"/>
    <w:rsid w:val="008E1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5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4E3"/>
    <w:rPr>
      <w:noProof/>
    </w:rPr>
  </w:style>
  <w:style w:type="paragraph" w:styleId="Zpat">
    <w:name w:val="footer"/>
    <w:basedOn w:val="Normln"/>
    <w:link w:val="ZpatChar"/>
    <w:uiPriority w:val="99"/>
    <w:unhideWhenUsed/>
    <w:rsid w:val="0085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4E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3ACA-4E4E-4FFA-ABBC-30399CA8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</cp:lastModifiedBy>
  <cp:revision>46</cp:revision>
  <dcterms:created xsi:type="dcterms:W3CDTF">2017-08-22T09:23:00Z</dcterms:created>
  <dcterms:modified xsi:type="dcterms:W3CDTF">2019-01-31T09:54:00Z</dcterms:modified>
</cp:coreProperties>
</file>